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55" w:rsidRDefault="00797A55" w:rsidP="00797A55">
      <w:pPr>
        <w:jc w:val="center"/>
      </w:pPr>
      <w:r>
        <w:t>Comunicato Stampa</w:t>
      </w:r>
    </w:p>
    <w:p w:rsidR="00797A55" w:rsidRPr="00C2107C" w:rsidRDefault="00797A55" w:rsidP="00797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continuità con il Sinodo, u</w:t>
      </w:r>
      <w:r w:rsidRPr="00C2107C">
        <w:rPr>
          <w:b/>
          <w:sz w:val="28"/>
          <w:szCs w:val="28"/>
        </w:rPr>
        <w:t xml:space="preserve">n nuovo </w:t>
      </w:r>
      <w:r>
        <w:rPr>
          <w:b/>
          <w:sz w:val="28"/>
          <w:szCs w:val="28"/>
        </w:rPr>
        <w:t>s</w:t>
      </w:r>
      <w:r w:rsidRPr="00C2107C">
        <w:rPr>
          <w:b/>
          <w:sz w:val="28"/>
          <w:szCs w:val="28"/>
        </w:rPr>
        <w:t xml:space="preserve">imposio </w:t>
      </w:r>
      <w:r>
        <w:rPr>
          <w:b/>
          <w:sz w:val="28"/>
          <w:szCs w:val="28"/>
        </w:rPr>
        <w:t xml:space="preserve">europeo </w:t>
      </w:r>
      <w:r w:rsidRPr="00C2107C">
        <w:rPr>
          <w:b/>
          <w:sz w:val="28"/>
          <w:szCs w:val="28"/>
        </w:rPr>
        <w:t>sui giovani</w:t>
      </w:r>
    </w:p>
    <w:p w:rsidR="00797A55" w:rsidRDefault="00797A55" w:rsidP="00797A55">
      <w:pPr>
        <w:jc w:val="center"/>
      </w:pPr>
      <w:r>
        <w:t>Cracovia 20-23 ottobre 2020</w:t>
      </w:r>
    </w:p>
    <w:p w:rsidR="00797A55" w:rsidRDefault="00797A55" w:rsidP="00797A55"/>
    <w:p w:rsidR="00797A55" w:rsidRDefault="00797A55" w:rsidP="00797A55"/>
    <w:p w:rsidR="00797A55" w:rsidRDefault="00797A55" w:rsidP="00797A55">
      <w:r>
        <w:t>Da giovedì 7 a sabato 9 marzo si è svolto a Roma, presso la sede della Conferenza Episcopale Italiana, l’incontro congiunto dei delegati nazionali per la Pastorale giovanile e l’Università delle Conferenze Episcopali d’Europa.</w:t>
      </w:r>
    </w:p>
    <w:p w:rsidR="00797A55" w:rsidRDefault="00797A55" w:rsidP="00797A55"/>
    <w:p w:rsidR="00797A55" w:rsidRDefault="00797A55" w:rsidP="00797A55">
      <w:r>
        <w:t>Organizzato dal Segretariato e dalla Commissione Giovani del CCEE, l’incontro ha visto la partecipazione di oltre 50 responsabili e incaricati dei due settori provenienti da tutta Europa per riflettere e confrontarsi sull’accompagnamento dei giovani alla luce del Sinodo dei Vescovi sui Giovani e dopo la GMG di Panama.</w:t>
      </w:r>
    </w:p>
    <w:p w:rsidR="00797A55" w:rsidRDefault="00797A55" w:rsidP="00797A55"/>
    <w:p w:rsidR="00797A55" w:rsidRDefault="00797A55" w:rsidP="00797A55">
      <w:r>
        <w:t xml:space="preserve">I lavori sono iniziati con il saluto del Card. Angelo Bagnasco, arcivescovo di Genova e Presidente del CCEE, di </w:t>
      </w:r>
      <w:proofErr w:type="spellStart"/>
      <w:r w:rsidRPr="00D47822">
        <w:t>Mons</w:t>
      </w:r>
      <w:proofErr w:type="spellEnd"/>
      <w:r w:rsidRPr="00D47822">
        <w:t xml:space="preserve">. Jean-Claude </w:t>
      </w:r>
      <w:proofErr w:type="spellStart"/>
      <w:r w:rsidRPr="00D47822">
        <w:t>Hollerich</w:t>
      </w:r>
      <w:proofErr w:type="spellEnd"/>
      <w:r w:rsidRPr="00D47822">
        <w:t xml:space="preserve">, </w:t>
      </w:r>
      <w:r>
        <w:t xml:space="preserve">arcivescovo di Lussemburgo e </w:t>
      </w:r>
      <w:r w:rsidRPr="00D47822">
        <w:rPr>
          <w:lang w:val="it-CH"/>
        </w:rPr>
        <w:t xml:space="preserve">Presidente della Commissione Giovani </w:t>
      </w:r>
      <w:r>
        <w:rPr>
          <w:lang w:val="it-CH"/>
        </w:rPr>
        <w:t xml:space="preserve">e di </w:t>
      </w:r>
      <w:proofErr w:type="spellStart"/>
      <w:r w:rsidRPr="00D47822">
        <w:t>Mons</w:t>
      </w:r>
      <w:proofErr w:type="spellEnd"/>
      <w:r w:rsidRPr="00D47822">
        <w:t xml:space="preserve">. Marek </w:t>
      </w:r>
      <w:proofErr w:type="spellStart"/>
      <w:r w:rsidRPr="00D47822">
        <w:t>Jędraszewski</w:t>
      </w:r>
      <w:proofErr w:type="spellEnd"/>
      <w:r w:rsidRPr="00D47822">
        <w:t xml:space="preserve">, </w:t>
      </w:r>
      <w:r>
        <w:t xml:space="preserve">arcivescovo di Cracovia e </w:t>
      </w:r>
      <w:r w:rsidRPr="00D47822">
        <w:rPr>
          <w:lang w:val="it-CH"/>
        </w:rPr>
        <w:t>Responsabile dell</w:t>
      </w:r>
      <w:r w:rsidRPr="00D47822">
        <w:t>a Sezione Università</w:t>
      </w:r>
      <w:r>
        <w:t>.</w:t>
      </w:r>
    </w:p>
    <w:p w:rsidR="00797A55" w:rsidRDefault="00797A55" w:rsidP="00797A55"/>
    <w:p w:rsidR="00797A55" w:rsidRDefault="00797A55" w:rsidP="00797A55">
      <w:r>
        <w:t xml:space="preserve">Tre relazioni sul Sinodo e due sulla GMG, che trovate in allegato, e l’ampio spazio dato al dibattito fra i partecipanti, hanno permesso di gettare le basi per un lavoro comune con i giovani alla luce dei due grandi momenti di Grazia vissuti e delle indicazioni del documento finale del Sinodo. Don Michele </w:t>
      </w:r>
      <w:proofErr w:type="spellStart"/>
      <w:r>
        <w:t>Falabretti</w:t>
      </w:r>
      <w:proofErr w:type="spellEnd"/>
      <w:r>
        <w:t>, Responsabile del Servizio di Pastorale giovanile italiana, ha ripercorso “</w:t>
      </w:r>
      <w:r w:rsidRPr="00D46E0E">
        <w:rPr>
          <w:i/>
        </w:rPr>
        <w:t>La preparazione e i giorni del Sinodo. Le novità di questo incontro.</w:t>
      </w:r>
      <w:r>
        <w:t xml:space="preserve">”  Al </w:t>
      </w:r>
      <w:r w:rsidRPr="00D46E0E">
        <w:t xml:space="preserve">Dott. Paul </w:t>
      </w:r>
      <w:proofErr w:type="spellStart"/>
      <w:r w:rsidRPr="00D46E0E">
        <w:t>Metzlaff</w:t>
      </w:r>
      <w:proofErr w:type="spellEnd"/>
      <w:r w:rsidRPr="00D46E0E">
        <w:t>,</w:t>
      </w:r>
      <w:r w:rsidRPr="00D46E0E">
        <w:rPr>
          <w:b/>
        </w:rPr>
        <w:t xml:space="preserve"> </w:t>
      </w:r>
      <w:r w:rsidRPr="009D2510">
        <w:t xml:space="preserve">Referente del Dipartimento per la Pastorale giovanile </w:t>
      </w:r>
      <w:r>
        <w:t>tedesca, è stato chiesto di raccontare “</w:t>
      </w:r>
      <w:r w:rsidRPr="00D46E0E">
        <w:rPr>
          <w:i/>
        </w:rPr>
        <w:t>I giovani protagonisti del Sinodo. La loro partecipazione ai lavori.</w:t>
      </w:r>
      <w:r>
        <w:t xml:space="preserve">” </w:t>
      </w:r>
      <w:r w:rsidRPr="00D46E0E">
        <w:t>P</w:t>
      </w:r>
      <w:r>
        <w:t>adre</w:t>
      </w:r>
      <w:r w:rsidRPr="00D46E0E">
        <w:t xml:space="preserve"> Giacomo Costa S.I.,</w:t>
      </w:r>
      <w:r w:rsidRPr="00D46E0E">
        <w:rPr>
          <w:b/>
        </w:rPr>
        <w:t xml:space="preserve"> </w:t>
      </w:r>
      <w:r w:rsidRPr="00D46E0E">
        <w:t>Segretario speciale del Sinodo sui Giovani</w:t>
      </w:r>
      <w:r>
        <w:t>, ha presentato “</w:t>
      </w:r>
      <w:r w:rsidRPr="00D46E0E">
        <w:rPr>
          <w:i/>
        </w:rPr>
        <w:t>Il documento finale. Analisi e prospettive future.</w:t>
      </w:r>
      <w:r>
        <w:t>”</w:t>
      </w:r>
    </w:p>
    <w:p w:rsidR="00797A55" w:rsidRDefault="00797A55" w:rsidP="00797A55">
      <w:pPr>
        <w:rPr>
          <w:i/>
        </w:rPr>
      </w:pPr>
      <w:r>
        <w:t xml:space="preserve">La partecipazione numerosa dei giovani polacchi alla GMG è stata l’occasione per </w:t>
      </w:r>
      <w:r w:rsidR="00BC7C70">
        <w:t>d</w:t>
      </w:r>
      <w:r>
        <w:t>on</w:t>
      </w:r>
      <w:r w:rsidRPr="0044076A">
        <w:t xml:space="preserve"> </w:t>
      </w:r>
      <w:proofErr w:type="spellStart"/>
      <w:r w:rsidRPr="0044076A">
        <w:t>Emil</w:t>
      </w:r>
      <w:proofErr w:type="spellEnd"/>
      <w:r w:rsidRPr="0044076A">
        <w:t xml:space="preserve"> </w:t>
      </w:r>
      <w:proofErr w:type="spellStart"/>
      <w:r w:rsidRPr="0044076A">
        <w:t>Parafiniuk</w:t>
      </w:r>
      <w:proofErr w:type="spellEnd"/>
      <w:r w:rsidRPr="0044076A">
        <w:t xml:space="preserve">, </w:t>
      </w:r>
      <w:r>
        <w:t xml:space="preserve">Responsabile della Pastorale giovanile polacca, di far rivivere i giorni di Panama </w:t>
      </w:r>
      <w:r w:rsidRPr="0044076A">
        <w:rPr>
          <w:i/>
        </w:rPr>
        <w:t>“Voi non siete il futuro ma l’adesso di Dio. Papa Francesco e i giovani a Panama</w:t>
      </w:r>
      <w:r>
        <w:rPr>
          <w:i/>
        </w:rPr>
        <w:t>.”</w:t>
      </w:r>
    </w:p>
    <w:p w:rsidR="00797A55" w:rsidRPr="0044076A" w:rsidRDefault="00797A55" w:rsidP="00797A55">
      <w:pPr>
        <w:tabs>
          <w:tab w:val="left" w:pos="6960"/>
        </w:tabs>
      </w:pPr>
      <w:r>
        <w:t xml:space="preserve">Mentre </w:t>
      </w:r>
      <w:r w:rsidRPr="0044076A">
        <w:t>P</w:t>
      </w:r>
      <w:r w:rsidR="00314752">
        <w:t>adre</w:t>
      </w:r>
      <w:r w:rsidRPr="0044076A">
        <w:t xml:space="preserve"> João </w:t>
      </w:r>
      <w:proofErr w:type="spellStart"/>
      <w:r w:rsidRPr="0044076A">
        <w:t>Chagas</w:t>
      </w:r>
      <w:proofErr w:type="spellEnd"/>
      <w:r w:rsidRPr="0044076A">
        <w:t xml:space="preserve">, </w:t>
      </w:r>
      <w:r>
        <w:t>Responsabile dell’</w:t>
      </w:r>
      <w:r w:rsidRPr="0044076A">
        <w:t xml:space="preserve">Ufficio Giovani </w:t>
      </w:r>
      <w:r>
        <w:t>del</w:t>
      </w:r>
      <w:r w:rsidRPr="0044076A">
        <w:t xml:space="preserve"> Dicastero per i Laici, la Famiglia e la Vita</w:t>
      </w:r>
      <w:r>
        <w:t>, ha tracciato un percorso per unire insieme eventi e ordinario “</w:t>
      </w:r>
      <w:r w:rsidRPr="0044076A">
        <w:rPr>
          <w:i/>
        </w:rPr>
        <w:t>Dopo la GMG. La pastorale giovanile e il quotidiano.</w:t>
      </w:r>
      <w:r>
        <w:t>”</w:t>
      </w:r>
    </w:p>
    <w:p w:rsidR="00797A55" w:rsidRPr="0044076A" w:rsidRDefault="00797A55" w:rsidP="00797A55">
      <w:pPr>
        <w:tabs>
          <w:tab w:val="left" w:pos="6960"/>
        </w:tabs>
        <w:rPr>
          <w:i/>
        </w:rPr>
      </w:pPr>
    </w:p>
    <w:p w:rsidR="00797A55" w:rsidRDefault="00797A55" w:rsidP="00797A55">
      <w:pPr>
        <w:tabs>
          <w:tab w:val="left" w:pos="6960"/>
        </w:tabs>
      </w:pPr>
      <w:r>
        <w:t xml:space="preserve">A conclusione dei lavori è stato dato l’annuncio di un nuovo </w:t>
      </w:r>
      <w:r w:rsidRPr="00472A8D">
        <w:rPr>
          <w:b/>
        </w:rPr>
        <w:t xml:space="preserve">Simposio </w:t>
      </w:r>
      <w:r w:rsidR="0058471F">
        <w:rPr>
          <w:b/>
        </w:rPr>
        <w:t xml:space="preserve">europeo </w:t>
      </w:r>
      <w:bookmarkStart w:id="0" w:name="_GoBack"/>
      <w:bookmarkEnd w:id="0"/>
      <w:r w:rsidRPr="00472A8D">
        <w:rPr>
          <w:b/>
        </w:rPr>
        <w:t>sui giovani</w:t>
      </w:r>
      <w:r>
        <w:t xml:space="preserve"> che si celebrerà a </w:t>
      </w:r>
      <w:r w:rsidRPr="00472A8D">
        <w:rPr>
          <w:b/>
        </w:rPr>
        <w:t>Cracovia dal 20 al 23 ottobre 2020</w:t>
      </w:r>
      <w:r>
        <w:t>, nel centenario della nascita e nella festa liturgica, il 22 ottobre, di San Giovanni Paolo II.</w:t>
      </w:r>
    </w:p>
    <w:p w:rsidR="00797A55" w:rsidRPr="00D46E0E" w:rsidRDefault="00797A55" w:rsidP="00797A55">
      <w:pPr>
        <w:tabs>
          <w:tab w:val="left" w:pos="6960"/>
        </w:tabs>
      </w:pPr>
      <w:r>
        <w:t>Dopo quello di Barcellona del 2017, quale momento europeo di preparazione al Sinodo dei giovani, il Simposio di Cracovia vuole essere l’occasione per attuare le indicazioni del Sinodo e lasciarsi illuminare dall’Esortazione apostolica post - sinodale che Papa Francesco firmerà il prossimo 25 marzo.</w:t>
      </w:r>
    </w:p>
    <w:p w:rsidR="00797A55" w:rsidRDefault="00797A55" w:rsidP="00797A55"/>
    <w:p w:rsidR="00EB7066" w:rsidRPr="003F6A50" w:rsidRDefault="00797A55" w:rsidP="00797A55">
      <w:r>
        <w:t>San Gallo, 1</w:t>
      </w:r>
      <w:r w:rsidR="00B51B07">
        <w:t>1</w:t>
      </w:r>
      <w:r>
        <w:t xml:space="preserve"> marzo 2019.</w:t>
      </w:r>
    </w:p>
    <w:sectPr w:rsidR="00EB7066" w:rsidRPr="003F6A50" w:rsidSect="00797A55">
      <w:headerReference w:type="default" r:id="rId7"/>
      <w:headerReference w:type="first" r:id="rId8"/>
      <w:pgSz w:w="11900" w:h="16840"/>
      <w:pgMar w:top="1134" w:right="1134" w:bottom="1418" w:left="1230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972" w:rsidRDefault="00155972" w:rsidP="00863C88">
      <w:r>
        <w:separator/>
      </w:r>
    </w:p>
  </w:endnote>
  <w:endnote w:type="continuationSeparator" w:id="0">
    <w:p w:rsidR="00155972" w:rsidRDefault="00155972" w:rsidP="0086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ra">
    <w:altName w:val="Calibri"/>
    <w:panose1 w:val="020B0604020202020204"/>
    <w:charset w:val="00"/>
    <w:family w:val="auto"/>
    <w:pitch w:val="variable"/>
    <w:sig w:usb0="800000AF" w:usb1="5000204B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972" w:rsidRDefault="00155972" w:rsidP="00863C88">
      <w:r>
        <w:separator/>
      </w:r>
    </w:p>
  </w:footnote>
  <w:footnote w:type="continuationSeparator" w:id="0">
    <w:p w:rsidR="00155972" w:rsidRDefault="00155972" w:rsidP="0086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 w:cs="Times New Roman"/>
        <w:color w:val="6C0B1E"/>
        <w:sz w:val="18"/>
        <w:szCs w:val="18"/>
      </w:rPr>
    </w:pPr>
    <w:r w:rsidRPr="00344DDC">
      <w:rPr>
        <w:rFonts w:asciiTheme="minorHAnsi" w:hAnsiTheme="minorHAnsi"/>
        <w:smallCaps/>
        <w:color w:val="6C0B1E"/>
        <w:sz w:val="18"/>
        <w:szCs w:val="18"/>
      </w:rPr>
      <w:t>ccee</w:t>
    </w:r>
    <w:r w:rsidRPr="00344DDC">
      <w:rPr>
        <w:rFonts w:asciiTheme="minorHAnsi" w:hAnsiTheme="minorHAnsi"/>
        <w:color w:val="6C0B1E"/>
        <w:sz w:val="18"/>
        <w:szCs w:val="18"/>
      </w:rPr>
      <w:t xml:space="preserve"> </w:t>
    </w:r>
    <w:r w:rsidRPr="00344DDC">
      <w:rPr>
        <w:rFonts w:asciiTheme="minorHAnsi" w:hAnsiTheme="minorHAnsi" w:cs="Times New Roman"/>
        <w:color w:val="6C0B1E"/>
        <w:sz w:val="18"/>
        <w:szCs w:val="18"/>
      </w:rPr>
      <w:t xml:space="preserve">page 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344DDC">
      <w:rPr>
        <w:rFonts w:asciiTheme="minorHAnsi" w:hAnsiTheme="minorHAnsi" w:cs="Times New Roman"/>
        <w:color w:val="6C0B1E"/>
        <w:sz w:val="18"/>
        <w:szCs w:val="18"/>
      </w:rPr>
      <w:instrText xml:space="preserve"> PAGE </w:instrTex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 w:rsidR="00700E45">
      <w:rPr>
        <w:rFonts w:asciiTheme="minorHAnsi" w:hAnsiTheme="minorHAnsi" w:cs="Times New Roman"/>
        <w:noProof/>
        <w:color w:val="6C0B1E"/>
        <w:sz w:val="18"/>
        <w:szCs w:val="18"/>
      </w:rPr>
      <w:t>2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end"/>
    </w:r>
    <w:r w:rsidRPr="00344DDC">
      <w:rPr>
        <w:rFonts w:asciiTheme="minorHAnsi" w:hAnsiTheme="minorHAnsi" w:cs="Times New Roman"/>
        <w:color w:val="6C0B1E"/>
        <w:sz w:val="18"/>
        <w:szCs w:val="18"/>
      </w:rPr>
      <w:t xml:space="preserve"> of 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344DDC">
      <w:rPr>
        <w:rFonts w:asciiTheme="minorHAnsi" w:hAnsiTheme="minorHAnsi" w:cs="Times New Roman"/>
        <w:color w:val="6C0B1E"/>
        <w:sz w:val="18"/>
        <w:szCs w:val="18"/>
      </w:rPr>
      <w:instrText xml:space="preserve"> NUMPAGES </w:instrTex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 w:rsidR="00700E45">
      <w:rPr>
        <w:rFonts w:asciiTheme="minorHAnsi" w:hAnsiTheme="minorHAnsi" w:cs="Times New Roman"/>
        <w:noProof/>
        <w:color w:val="6C0B1E"/>
        <w:sz w:val="18"/>
        <w:szCs w:val="18"/>
      </w:rPr>
      <w:t>2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end"/>
    </w:r>
  </w:p>
  <w:p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/>
        <w:color w:val="800000"/>
        <w:sz w:val="18"/>
        <w:szCs w:val="18"/>
      </w:rPr>
    </w:pPr>
  </w:p>
  <w:p w:rsidR="00344DDC" w:rsidRPr="00344DDC" w:rsidRDefault="00344DDC" w:rsidP="008617B6">
    <w:pPr>
      <w:pStyle w:val="Intestazione"/>
      <w:spacing w:after="0"/>
      <w:jc w:val="right"/>
      <w:rPr>
        <w:rFonts w:asciiTheme="minorHAnsi" w:hAnsiTheme="minorHAnsi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4B1" w:rsidRPr="003F6A50" w:rsidRDefault="008924B1" w:rsidP="008924B1">
    <w:pPr>
      <w:pStyle w:val="Intestazione"/>
      <w:tabs>
        <w:tab w:val="clear" w:pos="4320"/>
        <w:tab w:val="clear" w:pos="8640"/>
        <w:tab w:val="center" w:pos="4536"/>
        <w:tab w:val="right" w:pos="8931"/>
      </w:tabs>
      <w:spacing w:after="2"/>
      <w:jc w:val="center"/>
      <w:rPr>
        <w:rFonts w:asciiTheme="minorHAnsi" w:hAnsiTheme="minorHAnsi"/>
        <w:color w:val="6C0B1E"/>
        <w:sz w:val="18"/>
        <w:szCs w:val="18"/>
        <w:lang w:val="it-CH"/>
      </w:rPr>
    </w:pPr>
    <w:r w:rsidRPr="008924B1">
      <w:rPr>
        <w:rFonts w:asciiTheme="minorHAnsi" w:hAnsiTheme="minorHAnsi"/>
        <w:noProof/>
        <w:color w:val="6C0B1E"/>
        <w:sz w:val="18"/>
        <w:szCs w:val="18"/>
      </w:rPr>
      <w:drawing>
        <wp:anchor distT="0" distB="0" distL="114300" distR="114300" simplePos="0" relativeHeight="251659264" behindDoc="0" locked="0" layoutInCell="1" allowOverlap="1" wp14:anchorId="0BFCFADF" wp14:editId="5A978DA3">
          <wp:simplePos x="0" y="0"/>
          <wp:positionH relativeFrom="column">
            <wp:posOffset>-685800</wp:posOffset>
          </wp:positionH>
          <wp:positionV relativeFrom="paragraph">
            <wp:posOffset>-79375</wp:posOffset>
          </wp:positionV>
          <wp:extent cx="1950720" cy="944880"/>
          <wp:effectExtent l="0" t="0" r="5080" b="0"/>
          <wp:wrapSquare wrapText="bothSides"/>
          <wp:docPr id="2" name="Imagem 1" descr="11_LOGO_mod-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1_LOGO_mod-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6A50">
      <w:rPr>
        <w:rFonts w:asciiTheme="minorHAnsi" w:hAnsiTheme="minorHAnsi"/>
        <w:color w:val="6C0B1E"/>
        <w:sz w:val="18"/>
        <w:szCs w:val="18"/>
        <w:lang w:val="it-CH"/>
      </w:rPr>
      <w:tab/>
    </w:r>
    <w:r w:rsidR="00797A55">
      <w:rPr>
        <w:rFonts w:asciiTheme="minorHAnsi" w:hAnsiTheme="minorHAnsi"/>
        <w:color w:val="6C0B1E"/>
        <w:sz w:val="18"/>
        <w:szCs w:val="18"/>
        <w:lang w:val="it-CH"/>
      </w:rPr>
      <w:t xml:space="preserve">          </w:t>
    </w:r>
    <w:r w:rsidR="00797A55">
      <w:rPr>
        <w:rFonts w:asciiTheme="minorHAnsi" w:hAnsiTheme="minorHAnsi"/>
        <w:b/>
        <w:smallCaps/>
        <w:color w:val="6C0B1E"/>
        <w:sz w:val="18"/>
        <w:szCs w:val="18"/>
        <w:lang w:val="it-CH"/>
      </w:rPr>
      <w:t>Ufficio Stampa</w:t>
    </w:r>
    <w:r w:rsidR="00A0777B" w:rsidRPr="003F6A50">
      <w:rPr>
        <w:rFonts w:asciiTheme="minorHAnsi" w:hAnsiTheme="minorHAnsi"/>
        <w:color w:val="6C0B1E"/>
        <w:sz w:val="18"/>
        <w:szCs w:val="18"/>
        <w:lang w:val="it-CH"/>
      </w:rPr>
      <w:tab/>
    </w:r>
    <w:r w:rsidR="00797A55">
      <w:rPr>
        <w:rFonts w:asciiTheme="minorHAnsi" w:hAnsiTheme="minorHAnsi"/>
        <w:color w:val="6C0B1E"/>
        <w:sz w:val="18"/>
        <w:szCs w:val="18"/>
        <w:lang w:val="it-CH"/>
      </w:rPr>
      <w:t xml:space="preserve">                                                                   </w:t>
    </w:r>
    <w:r w:rsidR="00A0777B" w:rsidRPr="003F6A50">
      <w:rPr>
        <w:rFonts w:asciiTheme="minorHAnsi" w:hAnsiTheme="minorHAnsi"/>
        <w:color w:val="6C0B1E"/>
        <w:sz w:val="18"/>
        <w:szCs w:val="18"/>
        <w:lang w:val="it-CH"/>
      </w:rPr>
      <w:t>T: +41 71 227 60</w:t>
    </w:r>
    <w:r w:rsidRPr="003F6A50">
      <w:rPr>
        <w:rFonts w:asciiTheme="minorHAnsi" w:hAnsiTheme="minorHAnsi"/>
        <w:color w:val="6C0B1E"/>
        <w:sz w:val="18"/>
        <w:szCs w:val="18"/>
        <w:lang w:val="it-CH"/>
      </w:rPr>
      <w:t xml:space="preserve">40 </w:t>
    </w:r>
  </w:p>
  <w:p w:rsidR="00344DDC" w:rsidRPr="003F6A50" w:rsidRDefault="00344DDC" w:rsidP="008924B1">
    <w:pPr>
      <w:pStyle w:val="Intestazione"/>
      <w:spacing w:after="2"/>
      <w:ind w:left="3544"/>
      <w:jc w:val="right"/>
      <w:rPr>
        <w:rFonts w:asciiTheme="minorHAnsi" w:hAnsiTheme="minorHAnsi"/>
        <w:color w:val="6C0B1E"/>
        <w:sz w:val="18"/>
        <w:szCs w:val="18"/>
        <w:lang w:val="it-CH"/>
      </w:rPr>
    </w:pPr>
    <w:r w:rsidRPr="003F6A50">
      <w:rPr>
        <w:rFonts w:asciiTheme="minorHAnsi" w:hAnsiTheme="minorHAnsi"/>
        <w:color w:val="6C0B1E"/>
        <w:sz w:val="18"/>
        <w:szCs w:val="18"/>
        <w:lang w:val="it-CH"/>
      </w:rPr>
      <w:t>F: +41 71 22</w:t>
    </w:r>
    <w:r w:rsidR="00A0777B" w:rsidRPr="003F6A50">
      <w:rPr>
        <w:rFonts w:asciiTheme="minorHAnsi" w:hAnsiTheme="minorHAnsi"/>
        <w:color w:val="6C0B1E"/>
        <w:sz w:val="18"/>
        <w:szCs w:val="18"/>
        <w:lang w:val="it-CH"/>
      </w:rPr>
      <w:t xml:space="preserve">7 </w:t>
    </w:r>
    <w:r w:rsidR="00A0777B" w:rsidRPr="003F6A50">
      <w:rPr>
        <w:rFonts w:asciiTheme="minorHAnsi" w:hAnsiTheme="minorHAnsi"/>
        <w:color w:val="6C0B1E"/>
        <w:spacing w:val="5"/>
        <w:sz w:val="18"/>
        <w:szCs w:val="18"/>
        <w:lang w:val="it-CH"/>
      </w:rPr>
      <w:t>60</w:t>
    </w:r>
    <w:r w:rsidR="00BB3D56" w:rsidRPr="003F6A50">
      <w:rPr>
        <w:rFonts w:asciiTheme="minorHAnsi" w:hAnsiTheme="minorHAnsi"/>
        <w:color w:val="6C0B1E"/>
        <w:spacing w:val="5"/>
        <w:sz w:val="18"/>
        <w:szCs w:val="18"/>
        <w:lang w:val="it-CH"/>
      </w:rPr>
      <w:t>4</w:t>
    </w:r>
    <w:r w:rsidRPr="003F6A50">
      <w:rPr>
        <w:rFonts w:asciiTheme="minorHAnsi" w:hAnsiTheme="minorHAnsi"/>
        <w:color w:val="6C0B1E"/>
        <w:spacing w:val="5"/>
        <w:sz w:val="18"/>
        <w:szCs w:val="18"/>
        <w:lang w:val="it-CH"/>
      </w:rPr>
      <w:t xml:space="preserve">1 </w:t>
    </w:r>
    <w:r w:rsidRPr="003F6A50">
      <w:rPr>
        <w:rFonts w:asciiTheme="minorHAnsi" w:hAnsiTheme="minorHAnsi"/>
        <w:color w:val="6C0B1E"/>
        <w:sz w:val="18"/>
        <w:szCs w:val="18"/>
        <w:lang w:val="it-CH"/>
      </w:rPr>
      <w:br/>
    </w:r>
    <w:r w:rsidR="00BC7C70">
      <w:rPr>
        <w:rFonts w:asciiTheme="minorHAnsi" w:hAnsiTheme="minorHAnsi"/>
        <w:color w:val="6C0B1E"/>
        <w:sz w:val="18"/>
        <w:szCs w:val="18"/>
        <w:lang w:val="it-CH"/>
      </w:rPr>
      <w:t>media</w:t>
    </w:r>
    <w:r w:rsidRPr="003F6A50">
      <w:rPr>
        <w:rFonts w:asciiTheme="minorHAnsi" w:hAnsiTheme="minorHAnsi"/>
        <w:color w:val="6C0B1E"/>
        <w:sz w:val="18"/>
        <w:szCs w:val="18"/>
        <w:lang w:val="it-CH"/>
      </w:rPr>
      <w:t>@ccee.eu</w:t>
    </w:r>
    <w:r w:rsidRPr="003F6A50">
      <w:rPr>
        <w:rFonts w:asciiTheme="minorHAnsi" w:hAnsiTheme="minorHAnsi"/>
        <w:color w:val="6C0B1E"/>
        <w:sz w:val="18"/>
        <w:szCs w:val="18"/>
        <w:lang w:val="it-CH"/>
      </w:rPr>
      <w:br/>
      <w:t xml:space="preserve">www.ccee.eu </w:t>
    </w:r>
    <w:r w:rsidRPr="003F6A50">
      <w:rPr>
        <w:rFonts w:asciiTheme="minorHAnsi" w:hAnsiTheme="minorHAnsi"/>
        <w:color w:val="6C0B1E"/>
        <w:sz w:val="18"/>
        <w:szCs w:val="18"/>
        <w:lang w:val="it-CH"/>
      </w:rPr>
      <w:br/>
      <w:t xml:space="preserve">Gallusstrasse 24 </w:t>
    </w:r>
  </w:p>
  <w:p w:rsidR="00344DDC" w:rsidRPr="00BB3D56" w:rsidRDefault="00344DDC" w:rsidP="00BB3D56">
    <w:pPr>
      <w:pStyle w:val="Intestazione"/>
      <w:spacing w:after="2"/>
      <w:ind w:left="3544"/>
      <w:jc w:val="right"/>
      <w:rPr>
        <w:rFonts w:asciiTheme="minorHAnsi" w:hAnsiTheme="minorHAnsi"/>
        <w:color w:val="800000"/>
        <w:sz w:val="18"/>
        <w:szCs w:val="18"/>
        <w:lang w:val="de-CH"/>
      </w:rPr>
    </w:pPr>
    <w:r w:rsidRPr="00BB3D56">
      <w:rPr>
        <w:rFonts w:asciiTheme="minorHAnsi" w:hAnsiTheme="minorHAnsi"/>
        <w:color w:val="6C0B1E"/>
        <w:sz w:val="18"/>
        <w:szCs w:val="18"/>
        <w:lang w:val="de-CH"/>
      </w:rPr>
      <w:t xml:space="preserve">CH-9000 </w:t>
    </w:r>
    <w:r w:rsidRPr="00BB3D56">
      <w:rPr>
        <w:rFonts w:asciiTheme="minorHAnsi" w:hAnsiTheme="minorHAnsi"/>
        <w:smallCaps/>
        <w:color w:val="6C0B1E"/>
        <w:sz w:val="18"/>
        <w:szCs w:val="18"/>
        <w:lang w:val="de-CH"/>
      </w:rPr>
      <w:t>St. Gallen</w:t>
    </w:r>
    <w:r w:rsidRPr="00BB3D56">
      <w:rPr>
        <w:rFonts w:asciiTheme="minorHAnsi" w:hAnsiTheme="minorHAnsi"/>
        <w:color w:val="6C0B1E"/>
        <w:sz w:val="18"/>
        <w:szCs w:val="18"/>
        <w:lang w:val="de-CH"/>
      </w:rPr>
      <w:t xml:space="preserve"> </w:t>
    </w:r>
    <w:r w:rsidRPr="00BB3D56">
      <w:rPr>
        <w:rFonts w:asciiTheme="minorHAnsi" w:hAnsiTheme="minorHAnsi"/>
        <w:smallCaps/>
        <w:color w:val="6C0B1E"/>
        <w:sz w:val="18"/>
        <w:szCs w:val="18"/>
        <w:lang w:val="de-CH"/>
      </w:rPr>
      <w:t>(Schweiz)</w:t>
    </w:r>
    <w:r w:rsidRPr="00BB3D56">
      <w:rPr>
        <w:rFonts w:asciiTheme="minorHAnsi" w:hAnsiTheme="minorHAnsi"/>
        <w:color w:val="800000"/>
        <w:sz w:val="18"/>
        <w:szCs w:val="18"/>
        <w:lang w:val="de-CH"/>
      </w:rPr>
      <w:t xml:space="preserve"> </w:t>
    </w:r>
    <w:r w:rsidRPr="00BB3D56">
      <w:rPr>
        <w:rFonts w:asciiTheme="minorHAnsi" w:hAnsiTheme="minorHAnsi"/>
        <w:sz w:val="18"/>
        <w:szCs w:val="18"/>
        <w:lang w:val="de-CH"/>
      </w:rPr>
      <w:br/>
    </w:r>
  </w:p>
  <w:p w:rsidR="00344DDC" w:rsidRPr="00BB3D56" w:rsidRDefault="00344DDC" w:rsidP="00EB7066">
    <w:pPr>
      <w:pStyle w:val="Intestazione"/>
      <w:spacing w:after="0"/>
      <w:rPr>
        <w:rFonts w:asciiTheme="minorHAnsi" w:hAnsiTheme="minorHAnsi"/>
      </w:rPr>
    </w:pPr>
  </w:p>
  <w:p w:rsidR="00344DDC" w:rsidRPr="00BB3D56" w:rsidRDefault="00344DDC" w:rsidP="00EB7066">
    <w:pPr>
      <w:pStyle w:val="Intestazione"/>
      <w:spacing w:after="0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55"/>
    <w:rsid w:val="00155972"/>
    <w:rsid w:val="00314752"/>
    <w:rsid w:val="00316667"/>
    <w:rsid w:val="003251DE"/>
    <w:rsid w:val="00344DDC"/>
    <w:rsid w:val="003865A0"/>
    <w:rsid w:val="003F6A50"/>
    <w:rsid w:val="00410326"/>
    <w:rsid w:val="0041489B"/>
    <w:rsid w:val="005665FA"/>
    <w:rsid w:val="0058471F"/>
    <w:rsid w:val="006D3C62"/>
    <w:rsid w:val="00700E45"/>
    <w:rsid w:val="007679F1"/>
    <w:rsid w:val="00797A55"/>
    <w:rsid w:val="008611AD"/>
    <w:rsid w:val="008617B6"/>
    <w:rsid w:val="00863C88"/>
    <w:rsid w:val="008924B1"/>
    <w:rsid w:val="008C414D"/>
    <w:rsid w:val="008F2AC2"/>
    <w:rsid w:val="00906825"/>
    <w:rsid w:val="00940E2F"/>
    <w:rsid w:val="00A0777B"/>
    <w:rsid w:val="00B51B07"/>
    <w:rsid w:val="00BB3D56"/>
    <w:rsid w:val="00BC7C70"/>
    <w:rsid w:val="00C81A23"/>
    <w:rsid w:val="00DC2171"/>
    <w:rsid w:val="00DC73F7"/>
    <w:rsid w:val="00EB7066"/>
    <w:rsid w:val="00F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8C49A0"/>
  <w14:defaultImageDpi w14:val="300"/>
  <w15:docId w15:val="{A1F7DE99-277F-E74A-B569-D6D8E7D8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7A55"/>
    <w:rPr>
      <w:rFonts w:eastAsiaTheme="minorHAns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C88"/>
    <w:pPr>
      <w:tabs>
        <w:tab w:val="center" w:pos="4320"/>
        <w:tab w:val="right" w:pos="8640"/>
      </w:tabs>
      <w:spacing w:after="120"/>
      <w:jc w:val="both"/>
    </w:pPr>
    <w:rPr>
      <w:rFonts w:ascii="Lora" w:eastAsiaTheme="minorEastAsia" w:hAnsi="Lora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C88"/>
  </w:style>
  <w:style w:type="paragraph" w:styleId="Pidipagina">
    <w:name w:val="footer"/>
    <w:basedOn w:val="Normale"/>
    <w:link w:val="PidipaginaCarattere"/>
    <w:uiPriority w:val="99"/>
    <w:unhideWhenUsed/>
    <w:rsid w:val="00863C88"/>
    <w:pPr>
      <w:tabs>
        <w:tab w:val="center" w:pos="4320"/>
        <w:tab w:val="right" w:pos="8640"/>
      </w:tabs>
      <w:spacing w:after="120"/>
      <w:jc w:val="both"/>
    </w:pPr>
    <w:rPr>
      <w:rFonts w:ascii="Lora" w:eastAsiaTheme="minorEastAsia" w:hAnsi="Lora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C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C88"/>
    <w:pPr>
      <w:spacing w:after="120"/>
      <w:jc w:val="both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C8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3C8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3C88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32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ammirati/Library/Group%20Containers/UBF8T346G9.Office/User%20Content.localized/Templates.localized/CCEE_model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245B15-2091-864C-A058-A23789A6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CCEE_modello.dotx</Template>
  <TotalTime>8</TotalTime>
  <Pages>1</Pages>
  <Words>420</Words>
  <Characters>2400</Characters>
  <Application>Microsoft Office Word</Application>
  <DocSecurity>0</DocSecurity>
  <Lines>20</Lines>
  <Paragraphs>5</Paragraphs>
  <ScaleCrop>false</ScaleCrop>
  <Company>CCEE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Ammirati</cp:lastModifiedBy>
  <cp:revision>6</cp:revision>
  <cp:lastPrinted>2019-03-11T14:30:00Z</cp:lastPrinted>
  <dcterms:created xsi:type="dcterms:W3CDTF">2019-03-11T14:23:00Z</dcterms:created>
  <dcterms:modified xsi:type="dcterms:W3CDTF">2019-03-11T14:31:00Z</dcterms:modified>
</cp:coreProperties>
</file>